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令和3年度　錦岡児童センター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【実施期間】令和4年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月1日(火）～1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日（火）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【対象者】錦岡児童センター利用者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【回収件数】119件（児童56件　中高生15件　保護者48件）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児童&gt;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センターのおもちゃはどうですか？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【増やしてほしいおもちゃ（児童からの意見）】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・ポケモン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・スイッチ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・カード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857115" cy="1767205"/>
                <wp:effectExtent l="0" t="0" r="19685" b="2349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現在当センターが所有している「学童用おもちゃ」は、約１００個、乳幼児用おもちゃは２００個となっている。この現状から「おもちゃの満足度」については、「とても良い」が７５％、「良い」を含めて、回答した利用者の９８％が「満足している」ことが分かる。増やしてほしい「おもちゃ」の要望も出ていることから、予算を勘案しながら今後も充足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82.45pt;z-index:251654144;mso-width-relative:page;mso-height-relative:page;" fillcolor="#FFFFFF" filled="t" stroked="t" coordsize="21600,21600" o:gfxdata="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Rw9T2AAAAAgBAAAPAAAAAAAAAAEAIAAAACIAAABkcnMv&#10;ZG93bnJldi54bWxQSwECFAAUAAAACACHTuJAHIU2o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現在当センターが所有している「学童用おもちゃ」は、約１００個、乳幼児用おもちゃは２００個となっている。この現状から「おもちゃの満足度」については、「とても良い」が７５％、「良い」を含めて、回答した利用者の９８％が「満足している」ことが分かる。増やしてほしい「おもちゃ」の要望も出ていることから、予算を勘案しながら今後も充足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・勉強の本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・ルパン３世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・呪術廻戦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668520" cy="2200275"/>
                <wp:effectExtent l="0" t="0" r="1778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本や漫画等、図書の充実・満足度については、「とてもよい」が６８％、「よい」３０％と合わせ、満足度を伺える回答となっている。現在当センターには、約１０００冊の本が図書室に配架されている。今後も子ども達の興味・関心を引く読書傾向を考慮しながら、整備していく。</w:t>
                            </w:r>
                          </w:p>
                          <w:p>
                            <w:pPr>
                              <w:rPr>
                                <w:rFonts w:ascii="Segoe UI Emoji" w:hAnsi="Segoe UI Emoji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7.6pt;z-index:251655168;mso-width-relative:page;mso-height-relative:page;" fillcolor="#FFFFFF" filled="t" stroked="t" coordsize="21600,21600" o:gfxdata="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B4Ed2AAAAAgBAAAPAAAAAAAAAAEAIAAAACIAAABkcnMv&#10;ZG93bnJldi54bWxQSwECFAAUAAAACACHTuJAEdfjk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sz w:val="24"/>
                          <w:szCs w:val="24"/>
                          <w:lang w:eastAsia="ja-JP"/>
                        </w:rPr>
                        <w:t>本や漫画等、図書の充実・満足度については、「とてもよい」が６８％、「よい」３０％と合わせ、満足度を伺える回答となっている。現在当センターには、約１０００冊の本が図書室に配架されている。今後も子ども達の興味・関心を引く読書傾向を考慮しながら、整備していく。</w:t>
                      </w:r>
                    </w:p>
                    <w:p>
                      <w:pPr>
                        <w:rPr>
                          <w:rFonts w:ascii="Segoe UI Emoji" w:hAnsi="Segoe UI Emoji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・外に出てもいいこと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57327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とてもよい」が６６％、「よい」と感じる３０％の利用者回答を含め、肯定的な回答傾向が伺える。ほぼ全員が、「ルールの有効性」を肯定的に感じていることから、今後も利用する子ども達には、誰もが安心して利用できるように「館内の約束・ルール」を確認・設定し、協力を求めていく。また、現在は新型コロナウイルス対策として、小学生以上の利用者については、マスク着用を義務付けている。今後も「３密を避ける取組」を徹底し、衛生・安全面的な具体的取組を具体化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0.1pt;z-index:251656192;mso-width-relative:page;mso-height-relative:page;" fillcolor="#FFFFFF" filled="t" stroked="t" coordsize="21600,21600" o:gfxdata="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b5Ru2AAAAAgBAAAPAAAAAAAAAAEAIAAAACIAAABkcnMv&#10;ZG93bnJldi54bWxQSwECFAAUAAAACACHTuJAobKkGT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とてもよい」が６６％、「よい」と感じる３０％の利用者回答を含め、肯定的な回答傾向が伺える。ほぼ全員が、「ルールの有効性」を肯定的に感じていることから、今後も利用する子ども達には、誰もが安心して利用できるように「館内の約束・ルール」を確認・設定し、協力を求めていく。また、現在は新型コロナウイルス対策として、小学生以上の利用者については、マスク着用を義務付けている。今後も「３密を避ける取組」を徹底し、衛生・安全面的な具体的取組を具体化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・雪遊び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・バレンタインデー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・サッカーのイベント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・ゲームたいかい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・サッカーのイベント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・なわとび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67804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イベントに関して「とてもよい」と回答したのは、７８％。「よい」を含め、肯定的な評価は、９８％であった。特に今年度は、新型コロナウイルス対策が継続優先され、当センターで予定されていた各種イベントも中止・縮小の対応をしながら進めてきた。子ども達も社会の現状を認識した上で、制限された遊びや活動に理解をしてくれたと受け止めたい。今後も利用者のニーズ（コロナ禍でも安心して遊べる運動や活動等）を考え、快適に利用してもらえるように工夫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8.35pt;z-index:251657216;mso-width-relative:page;mso-height-relative:page;" fillcolor="#FFFFFF" filled="t" stroked="t" coordsize="21600,21600" o:gfxdata="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UtlibXAAAABwEAAA8AAAAAAAAAAQAgAAAAIgAAAGRycy9k&#10;b3ducmV2LnhtbFBLAQIUABQAAAAIAIdO4kC7dJys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イベントに関して「とてもよい」と回答したのは、７８％。「よい」を含め、肯定的な評価は、９８％であった。特に今年度は、新型コロナウイルス対策が継続優先され、当センターで予定されていた各種イベントも中止・縮小の対応をしながら進めてきた。子ども達も社会の現状を認識した上で、制限された遊びや活動に理解をしてくれたと受け止めたい。今後も利用者のニーズ（コロナ禍でも安心して遊べる運動や活動等）を考え、快適に利用してもらえるように工夫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センターの先生はどうですか？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【先生にしてほしいこと（児童からの意見）】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・いっしょに遊ぶ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・あまりおこらないで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・あまりおこらないで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782820" cy="2200275"/>
                <wp:effectExtent l="0" t="0" r="17780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利用する子ども達にとって、職員（スタッフ）に対する感情は、「とてもよい」が７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％、「よい」が２９％であった。子どもの見守り・遊びの指導への好評価が伺える。今後も接遇研修や事例研修を重ねながら、「安全・安心」を具現化するため、子どもと接する職員の資質向上に取り組んで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76.6pt;z-index:251658240;mso-width-relative:page;mso-height-relative:page;" fillcolor="#FFFFFF" filled="t" stroked="t" coordsize="21600,21600" o:gfxdata="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YDv3XAAAABwEAAA8AAAAAAAAAAQAgAAAAIgAAAGRycy9k&#10;b3ducmV2LnhtbFBLAQIUABQAAAAIAIdO4kBDXGai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利用する子ども達にとって、職員（スタッフ）に対する感情は、「とてもよい」が７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％、「よい」が２９％であった。子どもの見守り・遊びの指導への好評価が伺える。今後も接遇研修や事例研修を重ねながら、「安全・安心」を具現化するため、子どもと接する職員の資質向上に取り組んで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  <w:t>はい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」という回答が９８％であった。しかしながら、２％の子どもが「いいえ」と回答した点が課題となる。児童センターは、子ども達にとって、学校や家庭から離れ、一定時間過ごす場所であることから、気兼ねなく「遊びが楽しく、困りごとや心配事を相談しやすい」場所にしていく努力が必要である。今後も、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  <w:t>利用者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である子ども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  <w:t>に安心してご利用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してもらう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  <w:t>ために、相談に乗りやすい雰囲気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づくり、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</w:rPr>
                              <w:t>親身な接し方ができるよう職員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研修を強化・充実しながら運営していく。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0.85pt;z-index:251658240;mso-width-relative:page;mso-height-relative:page;" fillcolor="#FFFFFF" filled="t" stroked="t" coordsize="21600,21600" o:gfxdata="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NgIhHXAAAABwEAAA8AAAAAAAAAAQAgAAAAIgAAAGRycy9k&#10;b3ducmV2LnhtbFBLAQIUABQAAAAIAIdO4kA/sVNj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「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  <w:t>はい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」という回答が９８％であった。しかしながら、２％の子どもが「いいえ」と回答した点が課題となる。児童センターは、子ども達にとって、学校や家庭から離れ、一定時間過ごす場所であることから、気兼ねなく「遊びが楽しく、困りごとや心配事を相談しやすい」場所にしていく努力が必要である。今後も、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  <w:t>利用者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である子ども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  <w:t>に安心してご利用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してもらう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  <w:t>ために、相談に乗りやすい雰囲気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づくり、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</w:rPr>
                        <w:t>親身な接し方ができるよう職員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研修を強化・充実しながら運営していく。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７-1遊戯室で好きな遊びは何ですか？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一輪車、ドッジボール、かくれんぼ、おにごっこ、跳び箱、かくれんぼ、そり、ドッジボール、一輪車、レゴ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ドッジボール、ボール遊び、なわとび、なわとび、カタキ、一輪車、カタキ、カタキ、一輪車、一輪車、カタキ、カタキ、カタキ、一輪車、一輪車、一輪車、一輪車、ボール遊び、ボール遊び、カタキ、一輪車、ドッジボール、ポートボール、サッカー、サッカー、ドッジボール、一輪車、バスケットボール、なわとび、おにごっこ、的当てドッジ、カタキ、なわとび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7-2増やしてほしい道具はありますか？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硬いサッカーボール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ベイブレード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硬いサッカーボール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とびばこ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硬いサッカーボール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今後も、新型コロナウイルス対策を徹底しながら、利用者目線に立った運営を重視し、子ども達の様子や要望等を汲み取りながら、運営・改善に努めていく。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60.85pt;z-index:251659264;mso-width-relative:page;mso-height-relative:page;" fillcolor="#FFFFFF" filled="t" stroked="t" coordsize="21600,21600" o:gfxdata="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OS/nXAAAABwEAAA8AAAAAAAAAAQAgAAAAIgAAAGRycy9k&#10;b3ducmV2LnhtbFBLAQIUABQAAAAIAIdO4kDDitvW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今後も、新型コロナウイルス対策を徹底しながら、利用者目線に立った運営を重視し、子ども達の様子や要望等を汲み取りながら、運営・改善に努めていく。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センターを利用したくなるには？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・オモチャをふやす・漫画本を増やす・オモチャをふやす・カタキの時間を増やす・本をふやす・本やマンガをふやす・マジック・新しいオモチャをふやすゲーム・ゲーム・ゲーム・このままでいい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4582795" cy="1969770"/>
                <wp:effectExtent l="0" t="0" r="27305" b="1206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96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ウ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18"/>
                                <w:szCs w:val="18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ズコロナという社会状況を踏まえながら、利用者様からの意見・要望等にアンテナを張り巡らせ、より満足が得られる施設運営に努める。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8pt;margin-top:2.3pt;height:155.1pt;width:360.85pt;z-index:251660288;mso-width-relative:page;mso-height-relative:page;" fillcolor="#FFFFFF" filled="t" stroked="t" coordsize="21600,21600" o:gfxdata="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+loIXXAAAABwEAAA8AAAAAAAAAAQAgAAAAIgAAAGRycy9k&#10;b3ducmV2LnhtbFBLAQIUABQAAAAIAIdO4kAnWnCK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ウ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18"/>
                          <w:szCs w:val="18"/>
                          <w:lang w:eastAsia="ja-JP"/>
                        </w:rPr>
                        <w:t>イ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ズコロナという社会状況を踏まえながら、利用者様からの意見・要望等にアンテナを張り巡らせ、より満足が得られる施設運営に努める。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９　自由記入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ミニスキーをやりたい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おばけやしきをやりたい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ソリ遊び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先生はいつもやさしい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ブランコをやりたい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先生は、あまりおこらないでほしい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ゲーム大会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ゲーム大会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オモチャがたくさんあっていい。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かわわたり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39370</wp:posOffset>
                </wp:positionV>
                <wp:extent cx="4716145" cy="2251075"/>
                <wp:effectExtent l="0" t="0" r="27305" b="1651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25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職員一同、今後も利用者の子ども達とコミュニケーションをとりながら、安全・安心・快適を提供できる施設の環境を整え、質の高いサービスの提供とスタッフの資質向上及び対応に努めていく。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8pt;margin-top:3.1pt;height:177.25pt;width:371.35pt;z-index:251661312;mso-width-relative:page;mso-height-relative:page;" fillcolor="#FFFFFF" filled="t" stroked="t" coordsize="21600,21600" o:gfxdata="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c/6a1wAAAAcBAAAPAAAAAAAAAAEAIAAAACIAAABkcnMv&#10;ZG93bnJldi54bWxQSwECFAAUAAAACACHTuJAx9ZtPT0CAABW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職員一同、今後も利用者の子ども達とコミュニケーションをとりながら、安全・安心・快適を提供できる施設の環境を整え、質の高いサービスの提供とスタッフの資質向上及び対応に努めていく。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021113"/>
    <w:rsid w:val="00052233"/>
    <w:rsid w:val="0008139B"/>
    <w:rsid w:val="000D0C53"/>
    <w:rsid w:val="00291692"/>
    <w:rsid w:val="002B331D"/>
    <w:rsid w:val="00390216"/>
    <w:rsid w:val="003E4AD7"/>
    <w:rsid w:val="00543327"/>
    <w:rsid w:val="006E43CE"/>
    <w:rsid w:val="007011F2"/>
    <w:rsid w:val="0070672B"/>
    <w:rsid w:val="00760ED5"/>
    <w:rsid w:val="007A5A1F"/>
    <w:rsid w:val="00812541"/>
    <w:rsid w:val="008D6A3F"/>
    <w:rsid w:val="008F2671"/>
    <w:rsid w:val="0090455F"/>
    <w:rsid w:val="00931955"/>
    <w:rsid w:val="00A07761"/>
    <w:rsid w:val="00D4080B"/>
    <w:rsid w:val="00D97C5C"/>
    <w:rsid w:val="00E224DE"/>
    <w:rsid w:val="00E65271"/>
    <w:rsid w:val="00F54C8E"/>
    <w:rsid w:val="00FF7D7A"/>
    <w:rsid w:val="02CF13DE"/>
    <w:rsid w:val="03E81792"/>
    <w:rsid w:val="03F632D2"/>
    <w:rsid w:val="04A25EDA"/>
    <w:rsid w:val="0A9D5CF1"/>
    <w:rsid w:val="16DB42E3"/>
    <w:rsid w:val="1828379E"/>
    <w:rsid w:val="1E9B6F57"/>
    <w:rsid w:val="1F0A7030"/>
    <w:rsid w:val="22F73FE5"/>
    <w:rsid w:val="2AC11A6C"/>
    <w:rsid w:val="2B347F48"/>
    <w:rsid w:val="2F5D5340"/>
    <w:rsid w:val="32BC16D5"/>
    <w:rsid w:val="35F216E7"/>
    <w:rsid w:val="38BA3CBD"/>
    <w:rsid w:val="38E26409"/>
    <w:rsid w:val="3C3D4C97"/>
    <w:rsid w:val="3F5744A6"/>
    <w:rsid w:val="431953E8"/>
    <w:rsid w:val="48F601EC"/>
    <w:rsid w:val="550B1F11"/>
    <w:rsid w:val="563C0137"/>
    <w:rsid w:val="5CA3192F"/>
    <w:rsid w:val="618C151A"/>
    <w:rsid w:val="69C26F17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816;&#31461;&#65289;_(4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816;&#31461;&#65289;_(4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816;&#31461;&#65289;_(4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816;&#31461;&#65289;_(4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450;&#12531;&#12465;&#12540;&#12488;&#38598;&#35336;&#34920;(&#20816;&#31461;&#12475;&#12531;&#12479;&#12540;&#12288;&#20816;&#31461;&#65289;_(4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センターのおもちゃはどうですか？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3021663336859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0167143286194"/>
                  <c:y val="0.054231887680706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81426202321725"/>
                  <c:y val="0.029433320834895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9154228855721"/>
                      <c:h val="0.14078306878306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59203980099502"/>
                  <c:y val="0.033115527225763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42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1914708442124"/>
                  <c:y val="0.070032955145782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7154046997389"/>
                  <c:y val="0.095592060577092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0936329588015"/>
                  <c:y val="0.07198020629586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54681647940075"/>
                  <c:y val="0.036523730712004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37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2776392352452"/>
                  <c:y val="0.01017266004142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19451371571072"/>
                  <c:y val="0.020429070297836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44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センターの先生はどうですか
？</a:t>
            </a:r>
            <a:endParaRPr lang="ja-JP" altLang="en-US"/>
          </a:p>
        </c:rich>
      </c:tx>
      <c:layout>
        <c:manualLayout>
          <c:xMode val="edge"/>
          <c:yMode val="edge"/>
          <c:x val="0.127328752340971"/>
          <c:y val="0.0116630319169288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7931034482759"/>
                  <c:y val="0.021402018625222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500442086649"/>
                  <c:y val="0.03551311188142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39522546419098"/>
                  <c:y val="0.01751474943183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とてもよい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40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18253346823267"/>
          <c:y val="0.0237401185385951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0223170427718882"/>
                  <c:y val="0.1207925418818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56983240223464"/>
                  <c:y val="0.097101645677079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55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1106</Words>
  <Characters>283</Characters>
  <Lines>2</Lines>
  <Paragraphs>2</Paragraphs>
  <TotalTime>5</TotalTime>
  <ScaleCrop>false</ScaleCrop>
  <LinksUpToDate>false</LinksUpToDate>
  <CharactersWithSpaces>1387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2022-03-14T07:51:00Z</dcterms:created>
  <dc:creator>h0002</dc:creator>
  <cp:lastModifiedBy>現場用マスタPC</cp:lastModifiedBy>
  <cp:lastPrinted>2022-04-01T23:35:44Z</cp:lastPrinted>
  <dcterms:modified xsi:type="dcterms:W3CDTF">2022-04-01T23:38:33Z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